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28D31C" w14:textId="77777777" w:rsidR="009002FF" w:rsidRPr="003A6074" w:rsidRDefault="007A50D3">
      <w:pPr>
        <w:spacing w:before="240" w:after="240"/>
        <w:rPr>
          <w:b/>
          <w:bCs/>
          <w:sz w:val="28"/>
          <w:szCs w:val="28"/>
          <w:lang w:val="pl-PL"/>
        </w:rPr>
      </w:pPr>
      <w:r w:rsidRPr="003A6074">
        <w:rPr>
          <w:b/>
          <w:bCs/>
          <w:sz w:val="28"/>
          <w:szCs w:val="28"/>
          <w:lang w:val="pl-PL"/>
        </w:rPr>
        <w:t>Analogowe hobby zamiast scrollowania – moda czy potrzeba?</w:t>
      </w:r>
    </w:p>
    <w:p w14:paraId="4937B94E" w14:textId="77777777" w:rsidR="009002FF" w:rsidRPr="003A6074" w:rsidRDefault="007A50D3">
      <w:pPr>
        <w:rPr>
          <w:b/>
          <w:bCs/>
          <w:sz w:val="20"/>
          <w:szCs w:val="20"/>
          <w:lang w:val="pl-PL"/>
        </w:rPr>
      </w:pPr>
      <w:r w:rsidRPr="003A6074">
        <w:rPr>
          <w:b/>
          <w:bCs/>
          <w:sz w:val="20"/>
          <w:szCs w:val="20"/>
          <w:lang w:val="pl-PL"/>
        </w:rPr>
        <w:t xml:space="preserve"> </w:t>
      </w:r>
    </w:p>
    <w:p w14:paraId="79CCC0E5" w14:textId="77777777" w:rsidR="009002FF" w:rsidRPr="003A6074" w:rsidRDefault="007A50D3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3A6074">
        <w:rPr>
          <w:rFonts w:ascii="Arial" w:eastAsia="Arial" w:hAnsi="Arial" w:cs="Arial"/>
          <w:b/>
          <w:bCs/>
          <w:lang w:val="pl-PL"/>
        </w:rPr>
        <w:t xml:space="preserve">Co sprawia, że coraz więcej osób wychowanych w świecie technologii wybiera analogowe hobby, jak warsztaty ceramiczne, malarstwo czy pisanie poezji zamiast </w:t>
      </w:r>
      <w:proofErr w:type="spellStart"/>
      <w:r w:rsidRPr="003A6074">
        <w:rPr>
          <w:rFonts w:ascii="Arial" w:eastAsia="Arial" w:hAnsi="Arial" w:cs="Arial"/>
          <w:b/>
          <w:bCs/>
          <w:lang w:val="pl-PL"/>
        </w:rPr>
        <w:t>scrollowania</w:t>
      </w:r>
      <w:proofErr w:type="spellEnd"/>
      <w:r w:rsidRPr="003A6074">
        <w:rPr>
          <w:rFonts w:ascii="Arial" w:eastAsia="Arial" w:hAnsi="Arial" w:cs="Arial"/>
          <w:b/>
          <w:bCs/>
          <w:lang w:val="pl-PL"/>
        </w:rPr>
        <w:t>? O mechanizmach stojących za tym trendem, jego psychologicznym znaczeniu i wpływie na do</w:t>
      </w:r>
      <w:r w:rsidRPr="003A6074">
        <w:rPr>
          <w:rFonts w:ascii="Arial" w:eastAsia="Arial" w:hAnsi="Arial" w:cs="Arial"/>
          <w:b/>
          <w:bCs/>
          <w:lang w:val="pl-PL"/>
        </w:rPr>
        <w:t xml:space="preserve">brostan opowiada dr Małgorzata </w:t>
      </w:r>
      <w:proofErr w:type="spellStart"/>
      <w:r w:rsidRPr="003A6074">
        <w:rPr>
          <w:rFonts w:ascii="Arial" w:eastAsia="Arial" w:hAnsi="Arial" w:cs="Arial"/>
          <w:b/>
          <w:bCs/>
          <w:lang w:val="pl-PL"/>
        </w:rPr>
        <w:t>Osowiecka-Szczygieł</w:t>
      </w:r>
      <w:proofErr w:type="spellEnd"/>
      <w:r w:rsidRPr="003A6074">
        <w:rPr>
          <w:rFonts w:ascii="Arial" w:eastAsia="Arial" w:hAnsi="Arial" w:cs="Arial"/>
          <w:b/>
          <w:bCs/>
          <w:lang w:val="pl-PL"/>
        </w:rPr>
        <w:t>, psycholożka z Wydziału Psychologii w Sopocie Uniwersytetu SWPS.</w:t>
      </w:r>
    </w:p>
    <w:p w14:paraId="3F11100C" w14:textId="77777777" w:rsidR="009002FF" w:rsidRPr="003A6074" w:rsidRDefault="007A50D3">
      <w:pPr>
        <w:spacing w:before="240" w:after="240" w:line="300" w:lineRule="auto"/>
        <w:jc w:val="both"/>
        <w:rPr>
          <w:lang w:val="pl-PL"/>
        </w:rPr>
      </w:pPr>
      <w:r w:rsidRPr="003A6074">
        <w:rPr>
          <w:sz w:val="20"/>
          <w:szCs w:val="20"/>
          <w:lang w:val="pl-PL"/>
        </w:rPr>
        <w:t>Często mówi się, że najmłodsze pokolenia przyszły na świat z telefonem w ręku. Jak zauważa psycholożka dr Małgorzata Osowiecka-Szczygieł, zw</w:t>
      </w:r>
      <w:r w:rsidRPr="003A6074">
        <w:rPr>
          <w:sz w:val="20"/>
          <w:szCs w:val="20"/>
          <w:lang w:val="pl-PL"/>
        </w:rPr>
        <w:t xml:space="preserve">iązanie z mediami społecznościowymi, „zatopienie się” w telefonie czy tablecie jest dla młodych ludzi czymś naturalnym, typowym i psychologicznie zrozumiałym. Dzięki internetowej obecności można być na bieżąco, tworzyć szeroką sieć kontaktów, a często też </w:t>
      </w:r>
      <w:r w:rsidRPr="003A6074">
        <w:rPr>
          <w:sz w:val="20"/>
          <w:szCs w:val="20"/>
          <w:lang w:val="pl-PL"/>
        </w:rPr>
        <w:t>uzyskać szybciej i sprawniej dopasowaną do siebie pomoc, np. psychologiczną.</w:t>
      </w:r>
    </w:p>
    <w:p w14:paraId="0CA163C5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Jednocześnie ekspertka zwraca uwagę, że wciąż obserwuje się wzrost uzależnień behawioralnych od technologii, zwłaszcza w pokoleniu Z czy Alfa. Badania prowadzone w Niemczech wykaz</w:t>
      </w:r>
      <w:r w:rsidRPr="003A6074">
        <w:rPr>
          <w:sz w:val="20"/>
          <w:szCs w:val="20"/>
          <w:lang w:val="pl-PL"/>
        </w:rPr>
        <w:t>ały, że od 2019 do 2022 r. odsetek dzieci, które kwalifikują się jako uzależnione od gier komputerowych wzrósł z 2,7 proc. do 6,3 proc., a od mediów społecznościowych z 3,2 proc. do 6,7 proc. Badania prowadzone na reprezentatywnej grupie kilkuset nastolatk</w:t>
      </w:r>
      <w:r w:rsidRPr="003A6074">
        <w:rPr>
          <w:sz w:val="20"/>
          <w:szCs w:val="20"/>
          <w:lang w:val="pl-PL"/>
        </w:rPr>
        <w:t>ów opublikowane w 2025 r. na łamach periodyku “Family Medicine &amp; Primary Care Review”, wskazują, że nawet 64 proc. badanych młodych osób przejawia objawy problematycznego używania smartfona.</w:t>
      </w:r>
    </w:p>
    <w:p w14:paraId="267D3404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Ponadto, badania prowadzone na kilkutysięcznej grupie nastolatków</w:t>
      </w:r>
      <w:r w:rsidRPr="003A6074">
        <w:rPr>
          <w:sz w:val="20"/>
          <w:szCs w:val="20"/>
          <w:lang w:val="pl-PL"/>
        </w:rPr>
        <w:t xml:space="preserve"> opublikowane w 2025 r. w czasopiśmie “JAMA” pokazują, że młodzież z nasilonymi objawami uzależnienia od gier, filmów i mediów społecznościowych jest bardziej narażona na zaburzenia emocjonalne i zachowania suicydalne</w:t>
      </w:r>
      <w:r>
        <w:rPr>
          <w:sz w:val="20"/>
          <w:szCs w:val="20"/>
          <w:vertAlign w:val="superscript"/>
        </w:rPr>
        <w:footnoteReference w:id="1"/>
      </w:r>
      <w:r w:rsidRPr="003A6074">
        <w:rPr>
          <w:sz w:val="20"/>
          <w:szCs w:val="20"/>
          <w:lang w:val="pl-PL"/>
        </w:rPr>
        <w:t xml:space="preserve">. Jak zauważa ekspertka, jest to </w:t>
      </w:r>
      <w:r w:rsidRPr="003A6074">
        <w:rPr>
          <w:sz w:val="20"/>
          <w:szCs w:val="20"/>
          <w:lang w:val="pl-PL"/>
        </w:rPr>
        <w:lastRenderedPageBreak/>
        <w:t>złoż</w:t>
      </w:r>
      <w:r w:rsidRPr="003A6074">
        <w:rPr>
          <w:sz w:val="20"/>
          <w:szCs w:val="20"/>
          <w:lang w:val="pl-PL"/>
        </w:rPr>
        <w:t>one psychologicznie i społecznie zjawisko – i nie oznacza to, że technologia jest bezpośrednią przyczyną. Stanowi natomiast jeden z czynników ryzyka wystąpienia zachowań samobójczych. Inne zagrożenia związane z nadmiernym i problemowym korzystaniem z techn</w:t>
      </w:r>
      <w:r w:rsidRPr="003A6074">
        <w:rPr>
          <w:sz w:val="20"/>
          <w:szCs w:val="20"/>
          <w:lang w:val="pl-PL"/>
        </w:rPr>
        <w:t xml:space="preserve">ologii to np. phubbing (ignorowanie osoby, z którą się przebywa na rzecz telefonu), FOMO (ang. </w:t>
      </w:r>
      <w:r w:rsidRPr="003A6074">
        <w:rPr>
          <w:i/>
          <w:iCs/>
          <w:sz w:val="20"/>
          <w:szCs w:val="20"/>
          <w:lang w:val="pl-PL"/>
        </w:rPr>
        <w:t>fear of missing out</w:t>
      </w:r>
      <w:r w:rsidRPr="003A6074">
        <w:rPr>
          <w:sz w:val="20"/>
          <w:szCs w:val="20"/>
          <w:lang w:val="pl-PL"/>
        </w:rPr>
        <w:t>: obawa przed tym, że jeśli nie będzie się stale „na telefonie” to coś nas ominie), problemy relacyjne, lęk czy nieumiejętność nawiązywania no</w:t>
      </w:r>
      <w:r w:rsidRPr="003A6074">
        <w:rPr>
          <w:sz w:val="20"/>
          <w:szCs w:val="20"/>
          <w:lang w:val="pl-PL"/>
        </w:rPr>
        <w:t>wych znajomości, a także kłopoty poznawcze (takie jak problemy z uwagą, pamięcią czy kreatywnością).</w:t>
      </w:r>
    </w:p>
    <w:p w14:paraId="2C4140D1" w14:textId="77777777" w:rsidR="009002FF" w:rsidRPr="003A6074" w:rsidRDefault="007A50D3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3A6074">
        <w:rPr>
          <w:b/>
          <w:bCs/>
          <w:sz w:val="20"/>
          <w:szCs w:val="20"/>
          <w:lang w:val="pl-PL"/>
        </w:rPr>
        <w:t>Offline jako świadomy wybór</w:t>
      </w:r>
    </w:p>
    <w:p w14:paraId="5E6050B7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– To, że dzieci czy młodzież w sposób naturalny sięgają po technologię nie oznacza, że nie mogą czy nie chcą wybierać innych fo</w:t>
      </w:r>
      <w:r w:rsidRPr="003A6074">
        <w:rPr>
          <w:sz w:val="20"/>
          <w:szCs w:val="20"/>
          <w:lang w:val="pl-PL"/>
        </w:rPr>
        <w:t>rm spędzania czasu. Przeciwnie – komórka, tablet czy komputer nie są dla nich w większości przypadków czymś niedostępnym, wymarzonym czy upragnionym. Nie wydają się także (tak jak dla starszych pokoleń) symbolem luksusu, dobrobytu czy czymś, o co konieczni</w:t>
      </w:r>
      <w:r w:rsidRPr="003A6074">
        <w:rPr>
          <w:sz w:val="20"/>
          <w:szCs w:val="20"/>
          <w:lang w:val="pl-PL"/>
        </w:rPr>
        <w:t>e trzeba walczyć. Kiedy wszyscy są w podobny sposób „obdarzeni” technologią, przestaje ona być obiektem zazdrości, czymś, przez co można się jakoś wyróżnić czy nonkonformistycznie określić – mówi dr Małgorzata Osowiecka-Szczygieł.</w:t>
      </w:r>
    </w:p>
    <w:p w14:paraId="30055E90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 xml:space="preserve">Zdaniem ekspertki obecny </w:t>
      </w:r>
      <w:r w:rsidRPr="003A6074">
        <w:rPr>
          <w:sz w:val="20"/>
          <w:szCs w:val="20"/>
          <w:lang w:val="pl-PL"/>
        </w:rPr>
        <w:t>kierunek rozwoju trendu jest odwrotny. To osoby w wieku późnej dorosłości często za punkt honoru biorą właśnie „nauczenie się technologii”, chodzą na dodatkowe zajęcia komputerowe czy proszą dzieci i wnuki o pomoc w tym zakresie. Młodzi ludzie natomiast mo</w:t>
      </w:r>
      <w:r w:rsidRPr="003A6074">
        <w:rPr>
          <w:sz w:val="20"/>
          <w:szCs w:val="20"/>
          <w:lang w:val="pl-PL"/>
        </w:rPr>
        <w:t xml:space="preserve">gą wybierać aktywności bliższe naturze czy różnego rodzaju działania twórcze, takie jak warsztaty ceramiczne, malowanie czy pisanie poezji. </w:t>
      </w:r>
    </w:p>
    <w:p w14:paraId="59098B3C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– Angażując się w życie realne, świadomie ograniczają swoją obecność w mediach społecznościowych, traktując to jako</w:t>
      </w:r>
      <w:r w:rsidRPr="003A6074">
        <w:rPr>
          <w:sz w:val="20"/>
          <w:szCs w:val="20"/>
          <w:lang w:val="pl-PL"/>
        </w:rPr>
        <w:t xml:space="preserve"> formę odpoczynku i regeneracji. Teoria Odbudowy Uwagi (ang. </w:t>
      </w:r>
      <w:r w:rsidRPr="003A6074">
        <w:rPr>
          <w:i/>
          <w:iCs/>
          <w:sz w:val="20"/>
          <w:szCs w:val="20"/>
          <w:lang w:val="pl-PL"/>
        </w:rPr>
        <w:t>Attention Restoration Theory</w:t>
      </w:r>
      <w:r w:rsidRPr="003A6074">
        <w:rPr>
          <w:sz w:val="20"/>
          <w:szCs w:val="20"/>
          <w:lang w:val="pl-PL"/>
        </w:rPr>
        <w:t>) – sformułowana przez parę profesorów psychologii Stephena i Rachel Kaplanów – zakłada, że obserwowanie chmur czy słuchanie odgłosów lasu pomaga nam zregenerować prze</w:t>
      </w:r>
      <w:r w:rsidRPr="003A6074">
        <w:rPr>
          <w:sz w:val="20"/>
          <w:szCs w:val="20"/>
          <w:lang w:val="pl-PL"/>
        </w:rPr>
        <w:t xml:space="preserve">ciążone technologicznie zasoby uwagi. Badania prowadzone w ich zespole pokazują, że już 30 minut w naturalnym otoczeniu wspiera regenerację uwagi, a regularny kontakt z </w:t>
      </w:r>
      <w:r w:rsidRPr="003A6074">
        <w:rPr>
          <w:sz w:val="20"/>
          <w:szCs w:val="20"/>
          <w:lang w:val="pl-PL"/>
        </w:rPr>
        <w:lastRenderedPageBreak/>
        <w:t>naturą przynosi wymierne korzyści dla zdrowia i dobrostanu – wskazuje dr Małgorzata Oso</w:t>
      </w:r>
      <w:r w:rsidRPr="003A6074">
        <w:rPr>
          <w:sz w:val="20"/>
          <w:szCs w:val="20"/>
          <w:lang w:val="pl-PL"/>
        </w:rPr>
        <w:t>wiecka-Szczygieł.</w:t>
      </w:r>
    </w:p>
    <w:p w14:paraId="5E2F5D3A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 xml:space="preserve">Istnieją także badania naukowe potwierdzające, że podejmowane w świecie rzeczywistym aktywności twórcze – takie jak rzeźbienie, malowanie czy pisanie – mogą mieć pozytywny wpływ na zdrowie psychiczne i dobrostan. Przegląd badań z 2024 r. </w:t>
      </w:r>
      <w:r w:rsidRPr="003A6074">
        <w:rPr>
          <w:sz w:val="20"/>
          <w:szCs w:val="20"/>
          <w:lang w:val="pl-PL"/>
        </w:rPr>
        <w:t>opublikowany w czasopiśmie “Journal of Creativity” wskazuje, że angażowanie się w sztuki wizualne, pisanie, muzykę czy rzemiosło sprzyja regulacji emocji, elastyczności poznawczej i budowaniu więzi społecznych.</w:t>
      </w:r>
    </w:p>
    <w:p w14:paraId="5A187181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Psycholodzy Michael Slepian i Nalini Ambady n</w:t>
      </w:r>
      <w:r w:rsidRPr="003A6074">
        <w:rPr>
          <w:sz w:val="20"/>
          <w:szCs w:val="20"/>
          <w:lang w:val="pl-PL"/>
        </w:rPr>
        <w:t>a łamach “Journal of Experimental Psychology: General” dowiedli, że już samo – wykonywane podczas eksperymentu – kreślenie płynnych ósemek w powietrzu sprzyja kreatywności. Badanie opublikowane w “PLOS One” przez naukowców z Uniwersytetu Kansas wskazuje, ż</w:t>
      </w:r>
      <w:r w:rsidRPr="003A6074">
        <w:rPr>
          <w:sz w:val="20"/>
          <w:szCs w:val="20"/>
          <w:lang w:val="pl-PL"/>
        </w:rPr>
        <w:t xml:space="preserve">e spędzanie czasu w naturze zamiast „w telefonie” (uczestnicy ich badania przez trzy dni byli pozbawieni elektroniki i wyjechali odpocząć w naturalnym otoczeniu) zwiększa efektywność kreatywnego myślenia podczas rozwiązywania problemu skojarzeniowego o 50 </w:t>
      </w:r>
      <w:r w:rsidRPr="003A6074">
        <w:rPr>
          <w:sz w:val="20"/>
          <w:szCs w:val="20"/>
          <w:lang w:val="pl-PL"/>
        </w:rPr>
        <w:t>proc.</w:t>
      </w:r>
    </w:p>
    <w:p w14:paraId="76C7503B" w14:textId="77777777" w:rsidR="009002FF" w:rsidRPr="003A6074" w:rsidRDefault="007A50D3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3A6074">
        <w:rPr>
          <w:b/>
          <w:bCs/>
          <w:sz w:val="20"/>
          <w:szCs w:val="20"/>
          <w:lang w:val="pl-PL"/>
        </w:rPr>
        <w:t>Rzeczy, które nie znikają po jednym kliknięciu</w:t>
      </w:r>
    </w:p>
    <w:p w14:paraId="575DD6A0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Jak wskazuje psycholożka, aktywności twórcze offline pozwalają na wytworzenie czegoś namacalnego – umożliwiają „zobaczenie” swoich emocji i przyjrzenie się im, wzmacniając poczucie kontroli nad własnym ż</w:t>
      </w:r>
      <w:r w:rsidRPr="003A6074">
        <w:rPr>
          <w:sz w:val="20"/>
          <w:szCs w:val="20"/>
          <w:lang w:val="pl-PL"/>
        </w:rPr>
        <w:t xml:space="preserve">yciem. Powstaje coś, co ma barwę i fakturę, co jest dziełem własnych rąk i zostaje na później. Nie jest ulotne, podatne na zniknięcie, nadpisanie czy skasowanie, jak wiele internetowych wytworów. </w:t>
      </w:r>
    </w:p>
    <w:p w14:paraId="45FFA73E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– Tworząc rękodzieło, malując czy pisząc na kartce papieru,</w:t>
      </w:r>
      <w:r w:rsidRPr="003A6074">
        <w:rPr>
          <w:sz w:val="20"/>
          <w:szCs w:val="20"/>
          <w:lang w:val="pl-PL"/>
        </w:rPr>
        <w:t xml:space="preserve"> działamy wielozmysłowo, angażujemy wzrok, słuch, dotyk, nieraz musimy dostosować swoje ciało do zupełnie nowych warunków, podjąć wyzwanie. Choć efekt pracy jest jak najbardziej realny (rzeźba może stać się pamiątką z warsztatu, a wiersz elementem zbiorowe</w:t>
      </w:r>
      <w:r w:rsidRPr="003A6074">
        <w:rPr>
          <w:sz w:val="20"/>
          <w:szCs w:val="20"/>
          <w:lang w:val="pl-PL"/>
        </w:rPr>
        <w:t xml:space="preserve">go tomiku), emocje nie są w nim wyrażone wprost, lecz symbolicznie. Dzięki temu taka forma ekspresji bywa bezpieczniejsza niż mówienie o swoich przeżyciach w sposób dosłowny i bezpośredni. Praca kreatywna – pisanie, malowanie czy rzeźbienie – wykonywana w </w:t>
      </w:r>
      <w:r w:rsidRPr="003A6074">
        <w:rPr>
          <w:sz w:val="20"/>
          <w:szCs w:val="20"/>
          <w:lang w:val="pl-PL"/>
        </w:rPr>
        <w:t xml:space="preserve">parze lub w grupie jednoczy, uwrażliwia na drugą osobę i jej emocje, </w:t>
      </w:r>
      <w:r w:rsidRPr="003A6074">
        <w:rPr>
          <w:sz w:val="20"/>
          <w:szCs w:val="20"/>
          <w:lang w:val="pl-PL"/>
        </w:rPr>
        <w:lastRenderedPageBreak/>
        <w:t>a także sprzyja efektowi synergii – dodaje dr Małgorzata Osowiecka-Szczygieł.</w:t>
      </w:r>
    </w:p>
    <w:p w14:paraId="7BBFDDAC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Według psychologów twórczości są to warunki, w których wspólne działanie w jednym miejscu i czasie przynosi b</w:t>
      </w:r>
      <w:r w:rsidRPr="003A6074">
        <w:rPr>
          <w:sz w:val="20"/>
          <w:szCs w:val="20"/>
          <w:lang w:val="pl-PL"/>
        </w:rPr>
        <w:t>ogatsze efekty niż równoległa praca tych samych osób w izolacji. Młodzi ludzie, zmęczeni technologią i dostrzegający jej ograniczenia, zwracają się już więc nie ku cyfrowości (jak osoby w wieku średniej czy późnej dorosłości), lecz analogowości. Jest ona d</w:t>
      </w:r>
      <w:r w:rsidRPr="003A6074">
        <w:rPr>
          <w:sz w:val="20"/>
          <w:szCs w:val="20"/>
          <w:lang w:val="pl-PL"/>
        </w:rPr>
        <w:t xml:space="preserve">la nich nie tylko sposobem regeneracji zasobów poznawczych, ale także formą pracy ze sobą – ze swoim wnętrzem, potrzebą wyrażenia tego, kim są, jakie mają marzenia i światopogląd, czego nie rozumieją, a z czym się zgadzają. </w:t>
      </w:r>
    </w:p>
    <w:p w14:paraId="0AA7FBC2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Jak wskazuje psycholożka, dla m</w:t>
      </w:r>
      <w:r w:rsidRPr="003A6074">
        <w:rPr>
          <w:sz w:val="20"/>
          <w:szCs w:val="20"/>
          <w:lang w:val="pl-PL"/>
        </w:rPr>
        <w:t>łodych osób, których osobowość wciąż się kształtuje, manualne aktywności twórcze pełnią funkcję tożsamościową. To rzeźba, wiersz czy muzyczna solówka są naprawdę o nich i stwarzają szansę na odróżnienie się od reszty świata społecznego.</w:t>
      </w:r>
    </w:p>
    <w:p w14:paraId="69720715" w14:textId="77777777" w:rsidR="009002FF" w:rsidRPr="003A6074" w:rsidRDefault="007A50D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– Z perspektywy psy</w:t>
      </w:r>
      <w:r w:rsidRPr="003A6074">
        <w:rPr>
          <w:sz w:val="20"/>
          <w:szCs w:val="20"/>
          <w:lang w:val="pl-PL"/>
        </w:rPr>
        <w:t>chologicznej wybór bardziej analogowych niż cyfrowych form kreatywnego wyrażania siebie nie jest przypadkowy, dziwny czy niepokojący. Wydaje się, że jest to przede wszystkim odpowiedź na poznawcze przeciążenie technologiczną codziennością i ogromna potrzeb</w:t>
      </w:r>
      <w:r w:rsidRPr="003A6074">
        <w:rPr>
          <w:sz w:val="20"/>
          <w:szCs w:val="20"/>
          <w:lang w:val="pl-PL"/>
        </w:rPr>
        <w:t>a bycia tu i teraz, czasami samemu ze sobą, a czasami z innymi ludźmi – podsumowuje ekspertka.</w:t>
      </w:r>
    </w:p>
    <w:p w14:paraId="5686A704" w14:textId="77777777" w:rsidR="009002FF" w:rsidRPr="003A6074" w:rsidRDefault="007A50D3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3A6074">
        <w:rPr>
          <w:rFonts w:ascii="Arial" w:eastAsia="Arial" w:hAnsi="Arial" w:cs="Arial"/>
          <w:b/>
          <w:bCs/>
          <w:lang w:val="pl-PL"/>
        </w:rPr>
        <w:t>****</w:t>
      </w:r>
    </w:p>
    <w:p w14:paraId="06C21DFF" w14:textId="77777777" w:rsidR="009002FF" w:rsidRPr="003A6074" w:rsidRDefault="009002FF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6005756F" w14:textId="77777777" w:rsidR="009002FF" w:rsidRPr="003A6074" w:rsidRDefault="007A50D3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3A6074">
        <w:rPr>
          <w:b/>
          <w:bCs/>
          <w:sz w:val="20"/>
          <w:szCs w:val="20"/>
          <w:lang w:val="pl-PL"/>
        </w:rPr>
        <w:t>Uniwersytet SWPS</w:t>
      </w:r>
      <w:r w:rsidRPr="003A6074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</w:t>
      </w:r>
      <w:r w:rsidRPr="003A6074">
        <w:rPr>
          <w:sz w:val="20"/>
          <w:szCs w:val="20"/>
          <w:lang w:val="pl-PL"/>
        </w:rPr>
        <w:t>i prowadzonymi na najwyższym poziomie. Uczelnia kształci blisko 18 tys. studentek i studentów – w tym ponad tysiąc z zagranicy oraz ponad 4,5 tys. słuchaczek i słuchaczy studiów podyplomowych na ponad 50 kierunkach studiów stacjonarnych i ponad 40 niestacj</w:t>
      </w:r>
      <w:r w:rsidRPr="003A6074">
        <w:rPr>
          <w:sz w:val="20"/>
          <w:szCs w:val="20"/>
          <w:lang w:val="pl-PL"/>
        </w:rPr>
        <w:t>onarnych i ok. 240 kierunkach studiów podyplomowych. Uniwersytet oferuje programy studiów z psychologii, prawa, zarządzania, dziennikarstwa, filologii, kulturoznawstwa, nowych technologii oraz grafiki i wzornictwa, a także edukację w postaci szkoleń i krót</w:t>
      </w:r>
      <w:r w:rsidRPr="003A6074">
        <w:rPr>
          <w:sz w:val="20"/>
          <w:szCs w:val="20"/>
          <w:lang w:val="pl-PL"/>
        </w:rPr>
        <w:t xml:space="preserve">kich kursów akademickich. Uczelnia dba o wysoką wartość akademicką naszych programów oraz ich dostosowanie do wymagań zmieniającego </w:t>
      </w:r>
      <w:r w:rsidRPr="003A6074">
        <w:rPr>
          <w:sz w:val="20"/>
          <w:szCs w:val="20"/>
          <w:lang w:val="pl-PL"/>
        </w:rPr>
        <w:lastRenderedPageBreak/>
        <w:t>się rynku pracy. Kampusy Uniwersytetu SWPS znajdują się w sześciu miastach: Warszawie (siedziba), Wrocławiu, Sopocie, Poznan</w:t>
      </w:r>
      <w:r w:rsidRPr="003A6074">
        <w:rPr>
          <w:sz w:val="20"/>
          <w:szCs w:val="20"/>
          <w:lang w:val="pl-PL"/>
        </w:rPr>
        <w:t>iu, Katowicach i w Krakowie.</w:t>
      </w:r>
    </w:p>
    <w:p w14:paraId="4C770D33" w14:textId="77777777" w:rsidR="009002FF" w:rsidRPr="003A6074" w:rsidRDefault="009002FF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E422A42" w14:textId="77777777" w:rsidR="009002FF" w:rsidRPr="003A6074" w:rsidRDefault="007A50D3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</w:t>
      </w:r>
      <w:r w:rsidRPr="003A6074">
        <w:rPr>
          <w:sz w:val="20"/>
          <w:szCs w:val="20"/>
          <w:lang w:val="pl-PL"/>
        </w:rPr>
        <w:t>dministracji, sztuki plastyczne i konserwacja dzieł sztuki. Na Uniwersytecie SWPS funkcjonuje pięć instytutów naukowych, które zajmują się organizacją i koordynacją działalności naukowej pracowników badawczych i badawczo-dydaktycznych uczelni w poszczególn</w:t>
      </w:r>
      <w:r w:rsidRPr="003A6074">
        <w:rPr>
          <w:sz w:val="20"/>
          <w:szCs w:val="20"/>
          <w:lang w:val="pl-PL"/>
        </w:rPr>
        <w:t>ych dyscyplinach: Instytut Psychologii, Instytut Nauk Humanistycznych, Instytut Nauk Społecznych, Instytut Prawa oraz Instytut Projektowania. W uczelni działa blisko 30 centrów badawczych oraz ponad 175 kół naukowych.</w:t>
      </w:r>
    </w:p>
    <w:p w14:paraId="1B5BD974" w14:textId="77777777" w:rsidR="009002FF" w:rsidRPr="003A6074" w:rsidRDefault="009002FF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DB208D0" w14:textId="77777777" w:rsidR="009002FF" w:rsidRPr="003A6074" w:rsidRDefault="007A50D3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3A6074">
        <w:rPr>
          <w:sz w:val="20"/>
          <w:szCs w:val="20"/>
          <w:lang w:val="pl-PL"/>
        </w:rPr>
        <w:t>Uniwersytet SWPS należy do sojuszu European Reform University Alliance (ERUA). Jest to sojusz uczelni zawarty w ramach Inicjatywy Uniwersytetów Europejskich, powołanej i finansowanej przez Komisję Europejską.</w:t>
      </w:r>
    </w:p>
    <w:p w14:paraId="2208ECF4" w14:textId="77777777" w:rsidR="009002FF" w:rsidRPr="003A6074" w:rsidRDefault="009002FF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9002FF" w:rsidRPr="003A6074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10324E" w14:textId="77777777" w:rsidR="007A50D3" w:rsidRDefault="007A50D3">
      <w:r>
        <w:separator/>
      </w:r>
    </w:p>
  </w:endnote>
  <w:endnote w:type="continuationSeparator" w:id="0">
    <w:p w14:paraId="3428FC81" w14:textId="77777777" w:rsidR="007A50D3" w:rsidRDefault="007A50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4A4DF31A-20E5-4368-A0AE-8351AA17CB18}"/>
    <w:embedBold r:id="rId2" w:fontKey="{A40815BE-A45D-4DA3-9895-193DE1043B96}"/>
    <w:embedItalic r:id="rId3" w:fontKey="{87EC7FAC-ED0E-4A22-B630-CD4AFBEA7DB1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208DD710-1500-4724-B59E-6644FD8DCB1A}"/>
  </w:font>
  <w:font w:name="Georgia">
    <w:panose1 w:val="02040502050405020303"/>
    <w:charset w:val="00"/>
    <w:family w:val="auto"/>
    <w:pitch w:val="default"/>
    <w:embedItalic r:id="rId5" w:fontKey="{C2194B68-F813-408D-8BDF-035D332CB44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18CA889-2238-4461-A293-628F47DC2B3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D32497DC-4B73-4EBC-956F-458EDDE136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03BE9B" w14:textId="77777777" w:rsidR="009002FF" w:rsidRDefault="007A50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023B5D26" wp14:editId="3A712285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FE88F92" w14:textId="77777777" w:rsidR="009002FF" w:rsidRDefault="007A50D3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57D8B991" w14:textId="77777777" w:rsidR="009002FF" w:rsidRDefault="007A50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214611A2" wp14:editId="181F3FC2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1BB67B" w14:textId="77777777" w:rsidR="009002FF" w:rsidRDefault="007A50D3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85FE07" w14:textId="77777777" w:rsidR="007A50D3" w:rsidRDefault="007A50D3">
      <w:r>
        <w:separator/>
      </w:r>
    </w:p>
  </w:footnote>
  <w:footnote w:type="continuationSeparator" w:id="0">
    <w:p w14:paraId="504F5F19" w14:textId="77777777" w:rsidR="007A50D3" w:rsidRDefault="007A50D3">
      <w:r>
        <w:continuationSeparator/>
      </w:r>
    </w:p>
  </w:footnote>
  <w:footnote w:id="1">
    <w:p w14:paraId="2FAA4A2F" w14:textId="77777777" w:rsidR="009002FF" w:rsidRPr="003A6074" w:rsidRDefault="007A50D3">
      <w:pPr>
        <w:jc w:val="both"/>
        <w:rPr>
          <w:sz w:val="16"/>
          <w:szCs w:val="16"/>
          <w:lang w:val="pl-PL"/>
        </w:rPr>
      </w:pPr>
      <w:r>
        <w:rPr>
          <w:vertAlign w:val="superscript"/>
        </w:rPr>
        <w:footnoteRef/>
      </w:r>
      <w:r w:rsidRPr="003A6074">
        <w:rPr>
          <w:sz w:val="16"/>
          <w:szCs w:val="16"/>
          <w:lang w:val="pl-PL"/>
        </w:rPr>
        <w:t xml:space="preserve"> W ciągu czteroletniej obserwacji nastolatkowie z wyższym nasileniem objawów uzależnienia byli obciążeni niemal dwukrotnie wyższym ryzykiem zachowań samobójczych.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F59D1D" w14:textId="77777777" w:rsidR="009002FF" w:rsidRDefault="007A50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512043B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9F068" w14:textId="77777777" w:rsidR="009002FF" w:rsidRDefault="007A50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5DD2F1B0" wp14:editId="008ED2D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57D4A" w14:textId="77777777" w:rsidR="009002FF" w:rsidRDefault="007A50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1DDA90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2FF"/>
    <w:rsid w:val="003A6074"/>
    <w:rsid w:val="007A50D3"/>
    <w:rsid w:val="00900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FCCEB50"/>
  <w15:docId w15:val="{1CA36957-12F0-4E53-A4E5-CA7B33EF3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L+2jh0OK0886gHDXyx2FI0qhEg==">CgMxLjA4AHIhMWxmTjlldFFvWW40UWlLbGNrVi1hTHJRVnFjOTdxSFpw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1349</Words>
  <Characters>8099</Characters>
  <Application>Microsoft Office Word</Application>
  <DocSecurity>0</DocSecurity>
  <Lines>67</Lines>
  <Paragraphs>18</Paragraphs>
  <ScaleCrop>false</ScaleCrop>
  <Company/>
  <LinksUpToDate>false</LinksUpToDate>
  <CharactersWithSpaces>9430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2026-01-16T10:25:00Z</dcterms:created>
  <dcterms:modified xsi:type="dcterms:W3CDTF">2026-01-16T10:26:00Z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